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3" w:type="dxa"/>
        <w:tblCellMar>
          <w:top w:w="5" w:type="dxa"/>
          <w:left w:w="106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3957F5">
        <w:trPr>
          <w:trHeight w:val="4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57F5" w:rsidRDefault="000624B7">
            <w:pPr>
              <w:spacing w:after="0" w:line="259" w:lineRule="auto"/>
              <w:ind w:left="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0487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F5" w:rsidRDefault="000624B7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Министерство образования Иркутской области </w:t>
            </w:r>
          </w:p>
        </w:tc>
      </w:tr>
      <w:tr w:rsidR="003957F5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F5" w:rsidRDefault="003957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F5" w:rsidRDefault="000624B7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 xml:space="preserve">Государственное бюджетное профессиональное образовательное учреждение Иркутской области «Братский политехнический колледж» </w:t>
            </w:r>
          </w:p>
        </w:tc>
      </w:tr>
      <w:tr w:rsidR="003957F5">
        <w:trPr>
          <w:trHeight w:val="5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F5" w:rsidRDefault="000624B7" w:rsidP="00F56FF7">
            <w:pPr>
              <w:spacing w:after="0" w:line="259" w:lineRule="auto"/>
              <w:ind w:left="0" w:firstLine="0"/>
              <w:jc w:val="left"/>
            </w:pPr>
            <w:r w:rsidRPr="00EC0247">
              <w:rPr>
                <w:sz w:val="24"/>
              </w:rPr>
              <w:t>СМК-ЛД-</w:t>
            </w:r>
            <w:r w:rsidR="00F56FF7" w:rsidRPr="00EC0247">
              <w:rPr>
                <w:sz w:val="24"/>
              </w:rPr>
              <w:t xml:space="preserve"> </w:t>
            </w:r>
            <w:r w:rsidR="00EC0247">
              <w:rPr>
                <w:sz w:val="24"/>
              </w:rPr>
              <w:t xml:space="preserve">144 </w:t>
            </w:r>
            <w:r w:rsidRPr="00EC0247">
              <w:rPr>
                <w:sz w:val="24"/>
              </w:rPr>
              <w:t>-2021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F5" w:rsidRDefault="000624B7" w:rsidP="00F56FF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Положение об организации деятельности специализированного центра компетенций: </w:t>
            </w:r>
            <w:r w:rsidR="00F56FF7" w:rsidRPr="00F56FF7">
              <w:rPr>
                <w:sz w:val="22"/>
              </w:rPr>
              <w:t xml:space="preserve">F6 </w:t>
            </w:r>
            <w:proofErr w:type="spellStart"/>
            <w:r w:rsidR="00F56FF7" w:rsidRPr="00F56FF7">
              <w:rPr>
                <w:sz w:val="22"/>
              </w:rPr>
              <w:t>Mobile</w:t>
            </w:r>
            <w:proofErr w:type="spellEnd"/>
            <w:r w:rsidR="00F56FF7" w:rsidRPr="00F56FF7">
              <w:rPr>
                <w:sz w:val="22"/>
              </w:rPr>
              <w:t xml:space="preserve"> </w:t>
            </w:r>
            <w:proofErr w:type="spellStart"/>
            <w:r w:rsidR="00F56FF7" w:rsidRPr="00F56FF7">
              <w:rPr>
                <w:sz w:val="22"/>
              </w:rPr>
              <w:t>application</w:t>
            </w:r>
            <w:proofErr w:type="spellEnd"/>
            <w:r w:rsidR="00F56FF7" w:rsidRPr="00F56FF7">
              <w:rPr>
                <w:sz w:val="22"/>
              </w:rPr>
              <w:t xml:space="preserve"> </w:t>
            </w:r>
            <w:proofErr w:type="spellStart"/>
            <w:r w:rsidR="00F56FF7" w:rsidRPr="00F56FF7">
              <w:rPr>
                <w:sz w:val="22"/>
              </w:rPr>
              <w:t>development</w:t>
            </w:r>
            <w:proofErr w:type="spellEnd"/>
            <w:r>
              <w:rPr>
                <w:sz w:val="22"/>
              </w:rPr>
              <w:t xml:space="preserve">– </w:t>
            </w:r>
            <w:r w:rsidR="00F56FF7" w:rsidRPr="00F56FF7">
              <w:rPr>
                <w:sz w:val="22"/>
              </w:rPr>
              <w:t>F6 Разработка мобильных приложений</w:t>
            </w:r>
          </w:p>
        </w:tc>
      </w:tr>
    </w:tbl>
    <w:p w:rsidR="003957F5" w:rsidRDefault="000624B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15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EC0247" w:rsidP="00EC0247">
      <w:pPr>
        <w:spacing w:after="27" w:line="259" w:lineRule="auto"/>
        <w:ind w:left="5670" w:right="1564" w:firstLine="0"/>
        <w:jc w:val="left"/>
      </w:pPr>
      <w:r>
        <w:rPr>
          <w:sz w:val="24"/>
        </w:rPr>
        <w:t xml:space="preserve">Утверждено приказом </w:t>
      </w:r>
      <w:r w:rsidR="000624B7">
        <w:rPr>
          <w:sz w:val="24"/>
        </w:rPr>
        <w:t>ГБПОУ ИО «</w:t>
      </w:r>
      <w:proofErr w:type="spellStart"/>
      <w:proofErr w:type="gramStart"/>
      <w:r w:rsidR="000624B7">
        <w:rPr>
          <w:sz w:val="24"/>
        </w:rPr>
        <w:t>БрПК</w:t>
      </w:r>
      <w:proofErr w:type="spellEnd"/>
      <w:r w:rsidR="000624B7">
        <w:rPr>
          <w:sz w:val="24"/>
        </w:rPr>
        <w:t xml:space="preserve">» </w:t>
      </w:r>
      <w:r>
        <w:rPr>
          <w:sz w:val="24"/>
        </w:rPr>
        <w:t xml:space="preserve"> </w:t>
      </w:r>
      <w:r w:rsidR="000624B7" w:rsidRPr="00EC0247">
        <w:rPr>
          <w:sz w:val="24"/>
        </w:rPr>
        <w:t>№</w:t>
      </w:r>
      <w:proofErr w:type="gramEnd"/>
      <w:r w:rsidR="000624B7" w:rsidRPr="00EC0247">
        <w:rPr>
          <w:sz w:val="24"/>
        </w:rPr>
        <w:t xml:space="preserve"> </w:t>
      </w:r>
      <w:r w:rsidRPr="00EC0247">
        <w:rPr>
          <w:sz w:val="24"/>
          <w:u w:val="single" w:color="000000"/>
        </w:rPr>
        <w:t>457</w:t>
      </w:r>
      <w:r w:rsidR="000624B7" w:rsidRPr="00EC0247">
        <w:rPr>
          <w:sz w:val="24"/>
          <w:u w:val="single" w:color="000000"/>
        </w:rPr>
        <w:t xml:space="preserve"> от </w:t>
      </w:r>
      <w:r w:rsidRPr="00EC0247">
        <w:rPr>
          <w:sz w:val="24"/>
          <w:u w:val="single" w:color="000000"/>
        </w:rPr>
        <w:t>14</w:t>
      </w:r>
      <w:r w:rsidR="000624B7" w:rsidRPr="00EC0247">
        <w:rPr>
          <w:sz w:val="24"/>
          <w:u w:val="single" w:color="000000"/>
        </w:rPr>
        <w:t>.</w:t>
      </w:r>
      <w:r w:rsidRPr="00EC0247">
        <w:rPr>
          <w:sz w:val="24"/>
          <w:u w:val="single" w:color="000000"/>
        </w:rPr>
        <w:t>12</w:t>
      </w:r>
      <w:r w:rsidR="000624B7" w:rsidRPr="00EC0247">
        <w:rPr>
          <w:sz w:val="24"/>
          <w:u w:val="single" w:color="000000"/>
        </w:rPr>
        <w:t>.2021 г.</w:t>
      </w:r>
      <w:r w:rsidR="000624B7">
        <w:rPr>
          <w:sz w:val="24"/>
        </w:rPr>
        <w:t xml:space="preserve"> </w:t>
      </w:r>
    </w:p>
    <w:p w:rsidR="003957F5" w:rsidRDefault="000624B7">
      <w:pPr>
        <w:spacing w:after="432" w:line="259" w:lineRule="auto"/>
        <w:ind w:left="1908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0624B7">
      <w:pPr>
        <w:spacing w:after="28" w:line="259" w:lineRule="auto"/>
        <w:ind w:left="761" w:firstLine="0"/>
        <w:jc w:val="center"/>
      </w:pPr>
      <w:r>
        <w:rPr>
          <w:b/>
          <w:sz w:val="24"/>
        </w:rPr>
        <w:t xml:space="preserve"> </w:t>
      </w:r>
    </w:p>
    <w:p w:rsidR="003957F5" w:rsidRDefault="000624B7">
      <w:pPr>
        <w:pStyle w:val="1"/>
        <w:numPr>
          <w:ilvl w:val="0"/>
          <w:numId w:val="0"/>
        </w:numPr>
        <w:spacing w:after="166"/>
        <w:ind w:right="4"/>
      </w:pPr>
      <w:r>
        <w:rPr>
          <w:sz w:val="24"/>
        </w:rPr>
        <w:t xml:space="preserve">ПОЛОЖЕНИЕ </w:t>
      </w:r>
    </w:p>
    <w:p w:rsidR="003957F5" w:rsidRDefault="000624B7">
      <w:pPr>
        <w:spacing w:after="163" w:line="259" w:lineRule="auto"/>
        <w:ind w:left="0" w:right="372" w:firstLine="0"/>
        <w:jc w:val="right"/>
      </w:pPr>
      <w:r>
        <w:rPr>
          <w:b/>
          <w:sz w:val="24"/>
        </w:rPr>
        <w:t xml:space="preserve"> ОБ ОРГАНИЗАЦИИ ДЕЯТЕЛЬНОСТИ СПЕЦИАЛИЗИРОВАННОГО ЦЕНТРА </w:t>
      </w:r>
    </w:p>
    <w:p w:rsidR="003957F5" w:rsidRPr="00F56FF7" w:rsidRDefault="000624B7" w:rsidP="00F56FF7">
      <w:pPr>
        <w:spacing w:after="164" w:line="259" w:lineRule="auto"/>
        <w:ind w:left="2004" w:firstLine="0"/>
        <w:jc w:val="left"/>
        <w:rPr>
          <w:b/>
          <w:sz w:val="24"/>
        </w:rPr>
      </w:pPr>
      <w:r>
        <w:rPr>
          <w:b/>
          <w:sz w:val="24"/>
        </w:rPr>
        <w:t xml:space="preserve">КОМПЕТЕНЦИЙ: </w:t>
      </w:r>
      <w:r w:rsidR="00F56FF7" w:rsidRPr="00F56FF7">
        <w:rPr>
          <w:b/>
          <w:sz w:val="24"/>
        </w:rPr>
        <w:t>F6 MOBILE APPLICATION DEVELOPMENT– F6 РАЗРАБОТКА МОБИЛЬНЫХ ПРИЛОЖЕНИЙ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20" w:line="259" w:lineRule="auto"/>
        <w:ind w:left="761" w:firstLine="0"/>
        <w:jc w:val="center"/>
      </w:pPr>
      <w:r>
        <w:rPr>
          <w:sz w:val="24"/>
        </w:rPr>
        <w:t xml:space="preserve"> </w:t>
      </w:r>
    </w:p>
    <w:p w:rsidR="003957F5" w:rsidRDefault="000624B7">
      <w:pPr>
        <w:spacing w:after="0" w:line="259" w:lineRule="auto"/>
        <w:ind w:left="700" w:firstLine="0"/>
        <w:jc w:val="center"/>
      </w:pPr>
      <w:r>
        <w:rPr>
          <w:sz w:val="24"/>
        </w:rPr>
        <w:t xml:space="preserve">Братск  </w:t>
      </w:r>
    </w:p>
    <w:p w:rsidR="00F56FF7" w:rsidRDefault="000624B7">
      <w:pPr>
        <w:spacing w:after="562" w:line="259" w:lineRule="auto"/>
        <w:ind w:left="761" w:firstLine="0"/>
        <w:jc w:val="center"/>
        <w:rPr>
          <w:sz w:val="24"/>
        </w:rPr>
      </w:pPr>
      <w:r>
        <w:rPr>
          <w:sz w:val="24"/>
        </w:rPr>
        <w:t xml:space="preserve"> </w:t>
      </w:r>
      <w:r w:rsidR="00F56FF7">
        <w:rPr>
          <w:sz w:val="24"/>
        </w:rPr>
        <w:br w:type="page"/>
      </w:r>
    </w:p>
    <w:p w:rsidR="003957F5" w:rsidRDefault="004E3C1B">
      <w:pPr>
        <w:pStyle w:val="1"/>
        <w:numPr>
          <w:ilvl w:val="0"/>
          <w:numId w:val="0"/>
        </w:numPr>
        <w:spacing w:after="146"/>
        <w:ind w:right="10"/>
      </w:pPr>
      <w:r>
        <w:rPr>
          <w:sz w:val="24"/>
        </w:rPr>
        <w:lastRenderedPageBreak/>
        <w:t>С</w:t>
      </w:r>
      <w:r w:rsidR="000624B7">
        <w:rPr>
          <w:sz w:val="24"/>
        </w:rPr>
        <w:t xml:space="preserve">одержание </w:t>
      </w:r>
    </w:p>
    <w:p w:rsidR="003957F5" w:rsidRDefault="000624B7">
      <w:pPr>
        <w:spacing w:after="0"/>
        <w:ind w:left="-5"/>
      </w:pPr>
      <w:r>
        <w:t>Термины и определения ............................................................................................. 3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Общие положения ............................................................................................... 4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Статус СЦК .......................................................................................................... 4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Основные цели и задачи СЦК ............................................................................. 4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Права и обязанности СЦК ................................................................................... 5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Управление СЦК ................................................................................................. 6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Осуществление деятельности СЦК .................................................................... 7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9"/>
        <w:ind w:hanging="480"/>
      </w:pPr>
      <w:r>
        <w:t>Финансовые основы деятельности СЦК ............................................................ 7</w:t>
      </w:r>
      <w:r>
        <w:rPr>
          <w:rFonts w:ascii="Calibri" w:eastAsia="Calibri" w:hAnsi="Calibri" w:cs="Calibri"/>
          <w:sz w:val="24"/>
        </w:rPr>
        <w:t xml:space="preserve"> </w:t>
      </w:r>
    </w:p>
    <w:p w:rsidR="003957F5" w:rsidRDefault="000624B7">
      <w:pPr>
        <w:numPr>
          <w:ilvl w:val="0"/>
          <w:numId w:val="1"/>
        </w:numPr>
        <w:spacing w:after="0"/>
        <w:ind w:hanging="480"/>
      </w:pPr>
      <w:r>
        <w:t>Техническое и методическое обеспечение деятельности СЦК 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3957F5" w:rsidRDefault="000624B7" w:rsidP="004E3C1B">
      <w:pPr>
        <w:spacing w:before="240" w:after="0"/>
        <w:ind w:left="-6" w:hanging="11"/>
      </w:pPr>
      <w:r>
        <w:rPr>
          <w:b/>
        </w:rPr>
        <w:t xml:space="preserve">ТЕРМИНЫ И ОПРЕДЕЛЕНИЯ </w:t>
      </w:r>
    </w:p>
    <w:p w:rsidR="003957F5" w:rsidRDefault="000624B7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02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936"/>
        <w:gridCol w:w="6"/>
        <w:gridCol w:w="5660"/>
      </w:tblGrid>
      <w:tr w:rsidR="003957F5" w:rsidTr="006B4E2C">
        <w:trPr>
          <w:trHeight w:val="367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957F5" w:rsidRDefault="000624B7">
            <w:pPr>
              <w:spacing w:after="0" w:line="259" w:lineRule="auto"/>
              <w:ind w:left="0" w:firstLine="0"/>
              <w:jc w:val="left"/>
            </w:pPr>
            <w:r>
              <w:t xml:space="preserve">Инновационная модель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7F5" w:rsidRDefault="000624B7">
            <w:pPr>
              <w:spacing w:after="0" w:line="259" w:lineRule="auto"/>
              <w:ind w:left="0" w:right="72" w:firstLine="0"/>
            </w:pPr>
            <w:r>
              <w:t xml:space="preserve">Инновационная модель профессиональной ориентации обучающихся образовательных учреждений общего и профессионального образования, развития профессиональных компетенций и обеспечения мотивации к их формированию в учреждениях общего и профессионального образования с использованием современных образовательных и информационных технологий </w:t>
            </w:r>
          </w:p>
        </w:tc>
      </w:tr>
      <w:tr w:rsidR="003957F5" w:rsidTr="001C7683">
        <w:trPr>
          <w:trHeight w:val="739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3957F5" w:rsidRDefault="000624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(WSI)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right w:val="nil"/>
            </w:tcBorders>
          </w:tcPr>
          <w:p w:rsidR="003957F5" w:rsidRDefault="000624B7">
            <w:pPr>
              <w:tabs>
                <w:tab w:val="right" w:pos="5666"/>
              </w:tabs>
              <w:spacing w:after="44" w:line="259" w:lineRule="auto"/>
              <w:ind w:left="0" w:firstLine="0"/>
              <w:jc w:val="left"/>
            </w:pPr>
            <w:r>
              <w:t xml:space="preserve">Международная </w:t>
            </w:r>
            <w:r>
              <w:tab/>
              <w:t xml:space="preserve">неправительственная </w:t>
            </w:r>
          </w:p>
          <w:p w:rsidR="003957F5" w:rsidRDefault="000624B7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</w:p>
        </w:tc>
      </w:tr>
      <w:tr w:rsidR="003957F5" w:rsidTr="001C7683">
        <w:trPr>
          <w:trHeight w:val="3305"/>
        </w:trPr>
        <w:tc>
          <w:tcPr>
            <w:tcW w:w="3936" w:type="dxa"/>
          </w:tcPr>
          <w:p w:rsidR="003957F5" w:rsidRDefault="000624B7" w:rsidP="001C7683">
            <w:pPr>
              <w:spacing w:after="0" w:line="259" w:lineRule="auto"/>
              <w:ind w:left="0" w:right="107" w:firstLine="0"/>
              <w:jc w:val="left"/>
            </w:pP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(WSR) </w:t>
            </w:r>
          </w:p>
        </w:tc>
        <w:tc>
          <w:tcPr>
            <w:tcW w:w="5666" w:type="dxa"/>
            <w:gridSpan w:val="2"/>
          </w:tcPr>
          <w:p w:rsidR="003957F5" w:rsidRDefault="000624B7" w:rsidP="001C7683">
            <w:pPr>
              <w:spacing w:after="48" w:line="279" w:lineRule="auto"/>
              <w:ind w:left="0" w:right="107" w:firstLine="0"/>
            </w:pPr>
            <w:proofErr w:type="spellStart"/>
            <w:r>
              <w:t>Практикоориентированный</w:t>
            </w:r>
            <w:proofErr w:type="spellEnd"/>
            <w:r>
              <w:t xml:space="preserve"> инструмент проведения мероприятий Инновационной модели; некоммерческое движение, направленное на развитие системы начального и среднего профессионального образования в Российской Федерации, посредством проведения региональных, национальных и международных соревнований профессионального мастерства </w:t>
            </w:r>
          </w:p>
        </w:tc>
      </w:tr>
      <w:tr w:rsidR="006B4E2C" w:rsidTr="001C7683">
        <w:trPr>
          <w:trHeight w:val="1719"/>
        </w:trPr>
        <w:tc>
          <w:tcPr>
            <w:tcW w:w="3942" w:type="dxa"/>
            <w:gridSpan w:val="2"/>
          </w:tcPr>
          <w:p w:rsidR="006B4E2C" w:rsidRDefault="006B4E2C" w:rsidP="001C7683">
            <w:pPr>
              <w:spacing w:after="0" w:line="259" w:lineRule="auto"/>
              <w:ind w:left="0" w:right="107" w:firstLine="0"/>
            </w:pPr>
            <w:r w:rsidRPr="006B4E2C">
              <w:lastRenderedPageBreak/>
              <w:t>Автономная некоммерческая организация “Агентство развития профессионального мастерства (</w:t>
            </w:r>
            <w:proofErr w:type="spellStart"/>
            <w:r w:rsidRPr="006B4E2C">
              <w:t>Ворлдскиллс</w:t>
            </w:r>
            <w:proofErr w:type="spellEnd"/>
            <w:r w:rsidRPr="006B4E2C">
              <w:t xml:space="preserve"> Россия)”</w:t>
            </w:r>
          </w:p>
        </w:tc>
        <w:tc>
          <w:tcPr>
            <w:tcW w:w="5660" w:type="dxa"/>
          </w:tcPr>
          <w:p w:rsidR="006B4E2C" w:rsidRDefault="006B4E2C" w:rsidP="001C7683">
            <w:pPr>
              <w:spacing w:after="0" w:line="259" w:lineRule="auto"/>
              <w:ind w:left="0" w:right="107" w:firstLine="0"/>
            </w:pPr>
            <w:r>
              <w:t>Национальный оператор движения WSR, орган управления Инновационной моделью</w:t>
            </w:r>
          </w:p>
        </w:tc>
      </w:tr>
      <w:tr w:rsidR="001C7683" w:rsidTr="001C7683">
        <w:trPr>
          <w:trHeight w:val="639"/>
        </w:trPr>
        <w:tc>
          <w:tcPr>
            <w:tcW w:w="3942" w:type="dxa"/>
            <w:gridSpan w:val="2"/>
          </w:tcPr>
          <w:p w:rsidR="001C7683" w:rsidRPr="006B4E2C" w:rsidRDefault="001C7683" w:rsidP="001C7683">
            <w:pPr>
              <w:spacing w:after="0" w:line="259" w:lineRule="auto"/>
              <w:ind w:left="0" w:right="107" w:firstLine="0"/>
            </w:pPr>
            <w:r>
              <w:t>Проект</w:t>
            </w:r>
          </w:p>
        </w:tc>
        <w:tc>
          <w:tcPr>
            <w:tcW w:w="5660" w:type="dxa"/>
          </w:tcPr>
          <w:p w:rsidR="001C7683" w:rsidRDefault="001C7683" w:rsidP="001C7683">
            <w:pPr>
              <w:tabs>
                <w:tab w:val="center" w:pos="6628"/>
              </w:tabs>
              <w:spacing w:after="28" w:line="259" w:lineRule="auto"/>
              <w:ind w:left="0" w:right="107" w:firstLine="0"/>
              <w:jc w:val="left"/>
            </w:pPr>
            <w:r>
              <w:t xml:space="preserve">Некоммерческий проект "Развитие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"</w:t>
            </w:r>
          </w:p>
        </w:tc>
      </w:tr>
      <w:tr w:rsidR="001C7683" w:rsidTr="001C7683">
        <w:trPr>
          <w:trHeight w:val="639"/>
        </w:trPr>
        <w:tc>
          <w:tcPr>
            <w:tcW w:w="3942" w:type="dxa"/>
            <w:gridSpan w:val="2"/>
          </w:tcPr>
          <w:p w:rsidR="001C7683" w:rsidRDefault="001C7683" w:rsidP="001C7683">
            <w:pPr>
              <w:spacing w:after="0" w:line="259" w:lineRule="auto"/>
              <w:ind w:left="0" w:right="107" w:firstLine="0"/>
            </w:pPr>
            <w:r>
              <w:t>Специализированный центр компетенций (CЦК)</w:t>
            </w:r>
          </w:p>
        </w:tc>
        <w:tc>
          <w:tcPr>
            <w:tcW w:w="5660" w:type="dxa"/>
          </w:tcPr>
          <w:p w:rsidR="001C7683" w:rsidRDefault="001C7683" w:rsidP="001C7683">
            <w:pPr>
              <w:spacing w:after="8"/>
              <w:ind w:left="0" w:right="107"/>
            </w:pPr>
            <w:r>
              <w:t>Юридическое лицо, зарегистрированное и осуществляющее деятельность на территории субъекта Российской Федерации, для выполнения функций по подготовке участников Инновационной модели и проведения соревнований (мероприятий) WSR</w:t>
            </w:r>
          </w:p>
        </w:tc>
      </w:tr>
    </w:tbl>
    <w:p w:rsidR="003957F5" w:rsidRDefault="000624B7">
      <w:pPr>
        <w:spacing w:after="0" w:line="259" w:lineRule="auto"/>
        <w:ind w:left="0" w:right="1166" w:firstLine="0"/>
        <w:jc w:val="center"/>
      </w:pPr>
      <w:r>
        <w:t xml:space="preserve"> </w:t>
      </w:r>
    </w:p>
    <w:p w:rsidR="003957F5" w:rsidRDefault="000624B7">
      <w:pPr>
        <w:pStyle w:val="1"/>
        <w:ind w:left="358" w:hanging="358"/>
      </w:pPr>
      <w:r>
        <w:t xml:space="preserve">ОБЩИЕ ПОЛОЖЕНИЯ </w:t>
      </w:r>
    </w:p>
    <w:p w:rsidR="003957F5" w:rsidRDefault="000624B7">
      <w:pPr>
        <w:spacing w:after="39"/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деятельности специализированного центра компетенций </w:t>
      </w:r>
      <w:proofErr w:type="spellStart"/>
      <w:r>
        <w:t>Ворлдскиллс</w:t>
      </w:r>
      <w:proofErr w:type="spellEnd"/>
      <w:r>
        <w:t xml:space="preserve"> Россия по </w:t>
      </w:r>
      <w:r w:rsidR="001C7683" w:rsidRPr="001C7683">
        <w:t xml:space="preserve">F6 </w:t>
      </w:r>
      <w:proofErr w:type="spellStart"/>
      <w:r w:rsidR="001C7683" w:rsidRPr="001C7683">
        <w:t>Mobile</w:t>
      </w:r>
      <w:proofErr w:type="spellEnd"/>
      <w:r w:rsidR="001C7683" w:rsidRPr="001C7683">
        <w:t xml:space="preserve"> </w:t>
      </w:r>
      <w:proofErr w:type="spellStart"/>
      <w:r w:rsidR="001C7683" w:rsidRPr="001C7683">
        <w:t>application</w:t>
      </w:r>
      <w:proofErr w:type="spellEnd"/>
      <w:r w:rsidR="001C7683" w:rsidRPr="001C7683">
        <w:t xml:space="preserve"> </w:t>
      </w:r>
      <w:proofErr w:type="spellStart"/>
      <w:r w:rsidR="001C7683" w:rsidRPr="001C7683">
        <w:t>development</w:t>
      </w:r>
      <w:proofErr w:type="spellEnd"/>
      <w:r w:rsidR="001C7683" w:rsidRPr="001C7683">
        <w:t xml:space="preserve"> – F6 Разработка мобильных приложений</w:t>
      </w:r>
      <w:r>
        <w:t xml:space="preserve"> (далее - Положение) разработано в соответствии с уставом «Агентств</w:t>
      </w:r>
      <w:r w:rsidR="001C7683">
        <w:t>а</w:t>
      </w:r>
      <w:r>
        <w:t xml:space="preserve"> развития профессиональных сообществ и рабочих кадров «</w:t>
      </w:r>
      <w:proofErr w:type="spellStart"/>
      <w:r>
        <w:t>Ворлдскиллс</w:t>
      </w:r>
      <w:proofErr w:type="spellEnd"/>
      <w:r>
        <w:t xml:space="preserve"> Россия» (далее - </w:t>
      </w:r>
      <w:proofErr w:type="spellStart"/>
      <w:r w:rsidR="001C7683">
        <w:t>Агенство</w:t>
      </w:r>
      <w:proofErr w:type="spellEnd"/>
      <w:r>
        <w:t xml:space="preserve">), Положением об ассоциированном членстве и определяет статус, основные цели и задачи деятельности специализированного центра компетенций WSR (далее - СЦК WSR), организационную структуру СЦК WSR, а также права, обязанности и ответственность должностных лиц СЦК WSR. </w:t>
      </w:r>
    </w:p>
    <w:p w:rsidR="003957F5" w:rsidRDefault="000624B7">
      <w:pPr>
        <w:spacing w:after="77" w:line="259" w:lineRule="auto"/>
        <w:ind w:left="0" w:firstLine="0"/>
        <w:jc w:val="left"/>
      </w:pPr>
      <w:r>
        <w:t xml:space="preserve"> </w:t>
      </w:r>
    </w:p>
    <w:p w:rsidR="003957F5" w:rsidRDefault="000624B7">
      <w:pPr>
        <w:pStyle w:val="1"/>
        <w:ind w:left="358" w:right="5" w:hanging="358"/>
      </w:pPr>
      <w:r>
        <w:t xml:space="preserve">СТАТУС СЦК </w:t>
      </w:r>
    </w:p>
    <w:p w:rsidR="003957F5" w:rsidRDefault="000624B7">
      <w:pPr>
        <w:ind w:left="-5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СЦК </w:t>
      </w:r>
      <w:r w:rsidR="001C7683" w:rsidRPr="001C7683">
        <w:t>«Разработка мобильных приложений»</w:t>
      </w:r>
      <w:r>
        <w:t xml:space="preserve"> создан распоряжением министерства образования Иркутской области от </w:t>
      </w:r>
      <w:r w:rsidR="001C7683">
        <w:t>24</w:t>
      </w:r>
      <w:r>
        <w:t xml:space="preserve"> </w:t>
      </w:r>
      <w:r w:rsidR="001C7683">
        <w:t>ноября</w:t>
      </w:r>
      <w:r>
        <w:t xml:space="preserve"> 20</w:t>
      </w:r>
      <w:r w:rsidR="001C7683">
        <w:t>21</w:t>
      </w:r>
      <w:r>
        <w:t xml:space="preserve">года № </w:t>
      </w:r>
      <w:r w:rsidR="001C7683">
        <w:t>1990</w:t>
      </w:r>
      <w:r>
        <w:t xml:space="preserve">-мр базе Государственного бюджетного профессионального образовательного учреждения Иркутской области «Братский политехнический колледж» (далее - колледж). </w:t>
      </w:r>
    </w:p>
    <w:p w:rsidR="003957F5" w:rsidRDefault="000624B7">
      <w:pPr>
        <w:pStyle w:val="1"/>
        <w:ind w:left="360" w:right="5" w:hanging="360"/>
      </w:pPr>
      <w:r>
        <w:t xml:space="preserve">ОСНОВНЫЕ ЦЕЛИ И ЗАДАЧИ СЦК </w:t>
      </w:r>
    </w:p>
    <w:p w:rsidR="003957F5" w:rsidRDefault="000624B7">
      <w:pPr>
        <w:spacing w:after="32"/>
        <w:ind w:left="-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Основными целями деятельности СЦК являются: </w:t>
      </w:r>
    </w:p>
    <w:p w:rsidR="003957F5" w:rsidRDefault="000624B7">
      <w:pPr>
        <w:numPr>
          <w:ilvl w:val="0"/>
          <w:numId w:val="2"/>
        </w:numPr>
        <w:spacing w:after="40"/>
        <w:ind w:firstLine="420"/>
      </w:pPr>
      <w:r>
        <w:t xml:space="preserve">повышение уровня мотивации к профессиональному самоопределению, личностному и профессиональному росту студентов профессиональных </w:t>
      </w:r>
      <w:r>
        <w:lastRenderedPageBreak/>
        <w:t>образовательных организаций (далее – ПОО) Иркутской области по компетенции «</w:t>
      </w:r>
      <w:r w:rsidR="00474009" w:rsidRPr="00474009">
        <w:t>Разработка мобильных приложений</w:t>
      </w:r>
      <w:r>
        <w:t xml:space="preserve">»;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повышение качества профессиональной подготовки студентов ПОО Иркутской области по компетенции </w:t>
      </w:r>
      <w:r w:rsidR="00EC0247" w:rsidRPr="001C7683">
        <w:t>«Разработка мобильных приложений»</w:t>
      </w:r>
      <w:r>
        <w:t xml:space="preserve">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создание инновационных условий развития, в рамках среднего профессионального образования, методик и алгоритмов, направленных на обеспечение высококвалифицированными и профессиональными кадрами экономики города Братска и Иркутской области по компетенции </w:t>
      </w:r>
      <w:r w:rsidR="00EC0247" w:rsidRPr="001C7683">
        <w:t>«Разработка мобильных приложений»</w:t>
      </w:r>
      <w:r>
        <w:t xml:space="preserve">; </w:t>
      </w:r>
    </w:p>
    <w:p w:rsidR="003957F5" w:rsidRDefault="000624B7">
      <w:pPr>
        <w:spacing w:after="32"/>
        <w:ind w:left="-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Основными задачами СЦК являются: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формирование методического и педагогического опыта по компетенции WSR </w:t>
      </w:r>
      <w:r w:rsidR="00EC0247" w:rsidRPr="001C7683">
        <w:t>«Разработка мобильных приложений»</w:t>
      </w:r>
      <w:r w:rsidR="00EC0247">
        <w:t xml:space="preserve"> </w:t>
      </w:r>
      <w:r>
        <w:t xml:space="preserve">в Иркутской области;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разрабатывать и актуализировать модульные программы повышения квалификации методистов, педагогических работников, студентов по направлениям профессионального образования </w:t>
      </w:r>
      <w:r w:rsidR="00EC0247" w:rsidRPr="001C7683">
        <w:t>«Разработка мобильных приложений»</w:t>
      </w:r>
      <w:r w:rsidR="00EC0247">
        <w:t xml:space="preserve"> </w:t>
      </w:r>
      <w:r>
        <w:t xml:space="preserve">в Иркутской области;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создать тренировочный центр для сборной команды Иркутской области по компетенции </w:t>
      </w:r>
      <w:r w:rsidR="00EC0247" w:rsidRPr="001C7683">
        <w:t>«Разработка мобильных приложений»</w:t>
      </w:r>
      <w:r>
        <w:t xml:space="preserve">; </w:t>
      </w:r>
    </w:p>
    <w:p w:rsidR="003957F5" w:rsidRDefault="000624B7">
      <w:pPr>
        <w:numPr>
          <w:ilvl w:val="0"/>
          <w:numId w:val="2"/>
        </w:numPr>
        <w:ind w:firstLine="420"/>
      </w:pPr>
      <w:r>
        <w:t>повышать уровень профессиональных навыков и развивать компетенци</w:t>
      </w:r>
      <w:r w:rsidR="00EC0247">
        <w:t>ю</w:t>
      </w:r>
      <w:r>
        <w:t xml:space="preserve"> в Иркутской области; </w:t>
      </w:r>
    </w:p>
    <w:p w:rsidR="003957F5" w:rsidRDefault="000624B7">
      <w:pPr>
        <w:numPr>
          <w:ilvl w:val="0"/>
          <w:numId w:val="2"/>
        </w:numPr>
        <w:spacing w:after="32"/>
        <w:ind w:firstLine="420"/>
      </w:pPr>
      <w:r>
        <w:t xml:space="preserve">популяризировать рабочие профессии;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готовить профессиональные кадры с ориентацией на международные стандарты WSR; </w:t>
      </w:r>
    </w:p>
    <w:p w:rsidR="003957F5" w:rsidRDefault="000624B7">
      <w:pPr>
        <w:numPr>
          <w:ilvl w:val="0"/>
          <w:numId w:val="2"/>
        </w:numPr>
        <w:ind w:firstLine="420"/>
      </w:pPr>
      <w:r>
        <w:t xml:space="preserve">развивать стратегическое партнерство с государственными и неправительственными организациями, предприятиями, организациями и учреждениями Иркутской области, для достижения целей движения WSR;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проводить мероприятия WSR. </w:t>
      </w:r>
    </w:p>
    <w:p w:rsidR="003957F5" w:rsidRDefault="000624B7">
      <w:pPr>
        <w:spacing w:after="82" w:line="259" w:lineRule="auto"/>
        <w:ind w:left="0" w:firstLine="0"/>
        <w:jc w:val="left"/>
      </w:pPr>
      <w:r>
        <w:t xml:space="preserve"> </w:t>
      </w:r>
    </w:p>
    <w:p w:rsidR="003957F5" w:rsidRDefault="000624B7">
      <w:pPr>
        <w:pStyle w:val="1"/>
        <w:ind w:left="360" w:right="5" w:hanging="360"/>
      </w:pPr>
      <w:r>
        <w:t xml:space="preserve">ПРАВА И ОБЯЗАННОСТИ СЦК </w:t>
      </w:r>
    </w:p>
    <w:p w:rsidR="003957F5" w:rsidRDefault="000624B7">
      <w:pPr>
        <w:spacing w:after="35"/>
        <w:ind w:left="-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СЦК имеет право: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в соответствии с договором, заключенным с Национальным оператором представлять Инновационную модель и движение WSR в Иркутской области;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безвозмездно пользоваться всеми методическими, организационными и иными документами Инновационной модели (WSR); </w:t>
      </w:r>
    </w:p>
    <w:p w:rsidR="003957F5" w:rsidRDefault="000624B7">
      <w:pPr>
        <w:numPr>
          <w:ilvl w:val="0"/>
          <w:numId w:val="3"/>
        </w:numPr>
        <w:spacing w:after="31"/>
        <w:ind w:firstLine="420"/>
      </w:pPr>
      <w:r>
        <w:lastRenderedPageBreak/>
        <w:t xml:space="preserve">привлекать на возмездной основе на основании отдельных соглашений с Национальным оператором экспертов WSR и (или) WSI для проведения консультаций; </w:t>
      </w:r>
    </w:p>
    <w:p w:rsidR="003957F5" w:rsidRDefault="000624B7" w:rsidP="0025034C">
      <w:pPr>
        <w:numPr>
          <w:ilvl w:val="0"/>
          <w:numId w:val="3"/>
        </w:numPr>
        <w:ind w:left="-5" w:firstLine="420"/>
      </w:pPr>
      <w:r>
        <w:t xml:space="preserve">использовать в своей деятельности методики проведения мероприятий WSR (правила, регламенты, стандарты) для развития системы профессионального образования Иркутской области; </w:t>
      </w:r>
    </w:p>
    <w:p w:rsidR="003957F5" w:rsidRDefault="000624B7">
      <w:pPr>
        <w:numPr>
          <w:ilvl w:val="0"/>
          <w:numId w:val="3"/>
        </w:numPr>
        <w:spacing w:after="39"/>
        <w:ind w:firstLine="420"/>
      </w:pPr>
      <w:r>
        <w:t xml:space="preserve">вносить предложения Региональному координационному центру (далее - РКЦ) по совершенствованию организации деятельности СЦК в Иркутской области, в том числе по вопросам материально-технического обеспечения деятельности;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запрашивать у </w:t>
      </w:r>
      <w:r w:rsidR="00EC0247">
        <w:t>Агентства</w:t>
      </w:r>
      <w:r>
        <w:t xml:space="preserve"> и РКЦ информацию и документы, необходимые для осуществления деятельности СЦК;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по согласованию с РКЦ, формировать тренировочную базу и направлять от имени Иркутской области Национальному оператору заявку на проведение тренировочных сборов по компетенциям WSR на территории Иркутской области. </w:t>
      </w:r>
    </w:p>
    <w:p w:rsidR="003957F5" w:rsidRDefault="000624B7">
      <w:pPr>
        <w:ind w:left="-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Обязанности СЦК: </w:t>
      </w:r>
    </w:p>
    <w:p w:rsidR="003957F5" w:rsidRDefault="000624B7">
      <w:pPr>
        <w:numPr>
          <w:ilvl w:val="0"/>
          <w:numId w:val="3"/>
        </w:numPr>
        <w:spacing w:after="32"/>
        <w:ind w:firstLine="420"/>
      </w:pPr>
      <w:r>
        <w:t xml:space="preserve">представлять движение WSR в Иркутской области; </w:t>
      </w:r>
    </w:p>
    <w:p w:rsidR="003957F5" w:rsidRDefault="000624B7">
      <w:pPr>
        <w:numPr>
          <w:ilvl w:val="0"/>
          <w:numId w:val="3"/>
        </w:numPr>
        <w:spacing w:after="40" w:line="259" w:lineRule="auto"/>
        <w:ind w:firstLine="420"/>
      </w:pPr>
      <w:r>
        <w:t xml:space="preserve">при осуществлении функций СЦК строго соблюдать цели и задачи движения WSR, предусмотренные уставом </w:t>
      </w:r>
      <w:r w:rsidR="001C7683">
        <w:t>Агентства</w:t>
      </w:r>
      <w:r>
        <w:t xml:space="preserve"> и настоящим Положением;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обеспечить разработку и утверждение документов, необходимых для деятельности Проекта в Иркутской области; </w:t>
      </w:r>
    </w:p>
    <w:p w:rsidR="003957F5" w:rsidRDefault="000624B7">
      <w:pPr>
        <w:numPr>
          <w:ilvl w:val="0"/>
          <w:numId w:val="3"/>
        </w:numPr>
        <w:ind w:firstLine="420"/>
      </w:pPr>
      <w:r>
        <w:t>использовать в работе современные технические и информационно</w:t>
      </w:r>
      <w:r w:rsidR="00EC0247">
        <w:t xml:space="preserve"> - </w:t>
      </w:r>
      <w:r>
        <w:t xml:space="preserve">методические средства, обеспечивать поддержку их работоспособности; </w:t>
      </w:r>
    </w:p>
    <w:p w:rsidR="003957F5" w:rsidRDefault="000624B7" w:rsidP="008563C4">
      <w:pPr>
        <w:numPr>
          <w:ilvl w:val="0"/>
          <w:numId w:val="3"/>
        </w:numPr>
        <w:spacing w:after="32"/>
        <w:ind w:left="-5" w:firstLine="420"/>
      </w:pPr>
      <w:r>
        <w:t xml:space="preserve">осуществлять методическую поддержку деятельности специалистов и педагогов по вопросам реализации Инновационной модели и Проекта в Иркутской области; </w:t>
      </w:r>
    </w:p>
    <w:p w:rsidR="003957F5" w:rsidRDefault="000624B7">
      <w:pPr>
        <w:numPr>
          <w:ilvl w:val="0"/>
          <w:numId w:val="3"/>
        </w:numPr>
        <w:spacing w:after="33"/>
        <w:ind w:firstLine="420"/>
      </w:pPr>
      <w:r>
        <w:t xml:space="preserve">с целью обеспечения представления Инновационной модели и Проекта в Иркутской области на высоком профессиональном уровне проводить отбор претендентов для замещения должностей специалистов и экспертов СЦК; </w:t>
      </w:r>
    </w:p>
    <w:p w:rsidR="003957F5" w:rsidRDefault="000624B7">
      <w:pPr>
        <w:numPr>
          <w:ilvl w:val="0"/>
          <w:numId w:val="3"/>
        </w:numPr>
        <w:spacing w:after="27"/>
        <w:ind w:firstLine="420"/>
      </w:pPr>
      <w:r>
        <w:t xml:space="preserve">осуществлять методическую деятельность в части разработки и актуализации программ повышения квалификации различных категорий педагогических работников системы профессионального образования Иркутской области; </w:t>
      </w:r>
    </w:p>
    <w:p w:rsidR="003957F5" w:rsidRDefault="000624B7">
      <w:pPr>
        <w:numPr>
          <w:ilvl w:val="0"/>
          <w:numId w:val="3"/>
        </w:numPr>
        <w:ind w:firstLine="420"/>
      </w:pPr>
      <w:r>
        <w:t xml:space="preserve">составлять отчеты о деятельности СЦК в Иркутской области и передавать их на рассмотрение в РКЦ; </w:t>
      </w:r>
    </w:p>
    <w:p w:rsidR="003957F5" w:rsidRDefault="000624B7">
      <w:pPr>
        <w:numPr>
          <w:ilvl w:val="0"/>
          <w:numId w:val="3"/>
        </w:numPr>
        <w:spacing w:after="23"/>
        <w:ind w:firstLine="420"/>
      </w:pPr>
      <w:r>
        <w:lastRenderedPageBreak/>
        <w:t xml:space="preserve">по согласованию с РКЦ осуществлять адаптацию и апробацию стандартов (правил, регламентов, методик) в образовательном процессе профессиональных образовательных организациях по компетенции </w:t>
      </w:r>
      <w:r w:rsidR="0030776C" w:rsidRPr="001C7683">
        <w:t>«Разработка мобильных приложений»</w:t>
      </w:r>
      <w:r>
        <w:t xml:space="preserve">, контролировать их соблюдение. </w:t>
      </w:r>
    </w:p>
    <w:p w:rsidR="003957F5" w:rsidRDefault="000624B7">
      <w:pPr>
        <w:spacing w:after="80" w:line="259" w:lineRule="auto"/>
        <w:ind w:left="420" w:firstLine="0"/>
        <w:jc w:val="left"/>
      </w:pPr>
      <w:r>
        <w:t xml:space="preserve"> </w:t>
      </w:r>
    </w:p>
    <w:p w:rsidR="003957F5" w:rsidRDefault="000624B7">
      <w:pPr>
        <w:pStyle w:val="1"/>
        <w:ind w:left="350" w:right="3" w:hanging="350"/>
      </w:pPr>
      <w:r>
        <w:t xml:space="preserve">УПРАВЛЕНИЕ СЦК </w:t>
      </w:r>
    </w:p>
    <w:p w:rsidR="003957F5" w:rsidRDefault="000624B7">
      <w:pPr>
        <w:ind w:left="-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Руководство деятельностью СЦК осуществляет руководитель. </w:t>
      </w:r>
    </w:p>
    <w:p w:rsidR="003957F5" w:rsidRDefault="000624B7">
      <w:pPr>
        <w:spacing w:after="32"/>
        <w:ind w:left="-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Руководитель СЦК имеет право: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представлять интересы СЦК в отношениях с образовательными и иными организациями, органами государственной власти и местного самоуправления, с гражданами, по вопросам в рамках компетенции </w:t>
      </w:r>
      <w:r w:rsidR="0030776C" w:rsidRPr="001C7683">
        <w:t>«Разработка мобильных приложений»</w:t>
      </w:r>
      <w:r>
        <w:t xml:space="preserve">. </w:t>
      </w:r>
    </w:p>
    <w:p w:rsidR="003957F5" w:rsidRDefault="000624B7">
      <w:pPr>
        <w:ind w:left="-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Руководитель СЦК обязан: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обеспечивать эффективное выполнение функций СЦК;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проводить работу по совершенствованию деятельности СЦК; </w:t>
      </w:r>
    </w:p>
    <w:p w:rsidR="003957F5" w:rsidRDefault="000624B7">
      <w:pPr>
        <w:numPr>
          <w:ilvl w:val="0"/>
          <w:numId w:val="4"/>
        </w:numPr>
        <w:spacing w:after="0" w:line="320" w:lineRule="auto"/>
        <w:ind w:firstLine="420"/>
      </w:pPr>
      <w:r>
        <w:t xml:space="preserve">обеспечивать </w:t>
      </w:r>
      <w:r>
        <w:tab/>
        <w:t xml:space="preserve">рациональную </w:t>
      </w:r>
      <w:r>
        <w:tab/>
        <w:t xml:space="preserve">расстановку </w:t>
      </w:r>
      <w:r>
        <w:tab/>
        <w:t xml:space="preserve">и </w:t>
      </w:r>
      <w:r>
        <w:tab/>
        <w:t xml:space="preserve">целесообразное использование кадров;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контролировать соблюдение сотрудниками СЦК правил и норм охраны труда, техники безопасности и правил внутреннего распорядка;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обеспечивать выполнение в установленные сроки запланированных мероприятий; </w:t>
      </w:r>
    </w:p>
    <w:p w:rsidR="003957F5" w:rsidRDefault="000624B7">
      <w:pPr>
        <w:numPr>
          <w:ilvl w:val="0"/>
          <w:numId w:val="4"/>
        </w:numPr>
        <w:ind w:firstLine="420"/>
      </w:pPr>
      <w:r>
        <w:t xml:space="preserve">организовывать составление и своевременное предоставление в РКЦ отчетов о деятельности СЦК. </w:t>
      </w:r>
    </w:p>
    <w:p w:rsidR="003957F5" w:rsidRDefault="000624B7">
      <w:pPr>
        <w:ind w:left="-5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Руководитель СЦК несет ответственность за деятельность СЦК в соответствии с законодательством Российской Федерации. </w:t>
      </w:r>
    </w:p>
    <w:p w:rsidR="003957F5" w:rsidRDefault="000624B7">
      <w:pPr>
        <w:spacing w:after="83" w:line="259" w:lineRule="auto"/>
        <w:ind w:left="0" w:firstLine="0"/>
        <w:jc w:val="left"/>
      </w:pPr>
      <w:r>
        <w:t xml:space="preserve"> </w:t>
      </w:r>
    </w:p>
    <w:p w:rsidR="003957F5" w:rsidRDefault="000624B7">
      <w:pPr>
        <w:pStyle w:val="1"/>
        <w:ind w:left="360" w:right="9" w:hanging="360"/>
      </w:pPr>
      <w:r>
        <w:t xml:space="preserve">ОСУЩЕСТВЛЕНИЕ ДЕЯТЕЛЬНОСТИ СЦК </w:t>
      </w:r>
    </w:p>
    <w:p w:rsidR="003957F5" w:rsidRDefault="000624B7">
      <w:pPr>
        <w:ind w:left="-5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Деятельность СЦК осуществляется сотрудниками колледжа. По видам деятельности обязанности по выполнению функций СЦК закреплены приказом директора колледжа между сотрудниками: </w:t>
      </w:r>
    </w:p>
    <w:p w:rsidR="003957F5" w:rsidRDefault="000624B7">
      <w:pPr>
        <w:spacing w:after="35"/>
        <w:ind w:left="-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Организационные вопросы: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разработка документации по проведению региональных чемпионатов </w:t>
      </w:r>
    </w:p>
    <w:p w:rsidR="003957F5" w:rsidRDefault="000624B7">
      <w:pPr>
        <w:ind w:left="-5"/>
      </w:pPr>
      <w:r>
        <w:t xml:space="preserve">WSR и других мероприятий Проекта; </w:t>
      </w:r>
    </w:p>
    <w:p w:rsidR="003957F5" w:rsidRDefault="000624B7">
      <w:pPr>
        <w:numPr>
          <w:ilvl w:val="0"/>
          <w:numId w:val="5"/>
        </w:numPr>
        <w:spacing w:after="32"/>
        <w:ind w:firstLine="420"/>
      </w:pPr>
      <w:r>
        <w:t xml:space="preserve">подготовка площадки для региональной команды; </w:t>
      </w:r>
    </w:p>
    <w:p w:rsidR="003957F5" w:rsidRDefault="000624B7">
      <w:pPr>
        <w:numPr>
          <w:ilvl w:val="0"/>
          <w:numId w:val="5"/>
        </w:numPr>
        <w:spacing w:after="32"/>
        <w:ind w:firstLine="420"/>
      </w:pPr>
      <w:r>
        <w:lastRenderedPageBreak/>
        <w:t xml:space="preserve">осуществление деятельности в части разработки и актуализации программ профессионального образования, способствующих освоению обучающимися, навыков, соответствующих международным стандартам WSI; </w:t>
      </w:r>
    </w:p>
    <w:p w:rsidR="003957F5" w:rsidRDefault="000624B7">
      <w:pPr>
        <w:numPr>
          <w:ilvl w:val="0"/>
          <w:numId w:val="5"/>
        </w:numPr>
        <w:spacing w:after="32"/>
        <w:ind w:firstLine="420"/>
      </w:pPr>
      <w:r>
        <w:t xml:space="preserve">осуществление методической поддержки деятельности педагогических работников профессиональных образовательных организаций по вопросам реализации Инновационной модели и проекта в Иркутской области;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учет выполненной работы, итоговые аналитические и статистические справки; </w:t>
      </w:r>
    </w:p>
    <w:p w:rsidR="003957F5" w:rsidRDefault="000624B7">
      <w:pPr>
        <w:ind w:left="-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Информационно-аналитическая: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разработка основных направлений деятельности СЦК; </w:t>
      </w:r>
    </w:p>
    <w:p w:rsidR="003957F5" w:rsidRDefault="000624B7">
      <w:pPr>
        <w:numPr>
          <w:ilvl w:val="0"/>
          <w:numId w:val="5"/>
        </w:numPr>
        <w:spacing w:after="32"/>
        <w:ind w:firstLine="420"/>
      </w:pPr>
      <w:r>
        <w:t xml:space="preserve">реализация деловых контактов с целью взаимного обогащения и обмена информацией о педагогическом опыте и инновациях в области образования с другими СЦК;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обеспечение своевременности и качества ведения методической документации;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изучение, обобщение опыта инновационной деятельности в других субъектах Российской Федерации; </w:t>
      </w:r>
    </w:p>
    <w:p w:rsidR="003957F5" w:rsidRDefault="000624B7">
      <w:pPr>
        <w:numPr>
          <w:ilvl w:val="0"/>
          <w:numId w:val="5"/>
        </w:numPr>
        <w:ind w:firstLine="420"/>
      </w:pPr>
      <w:r>
        <w:t xml:space="preserve">ведение базы данных, содержащей информацию о проводимых мероприятиях и их участниках. </w:t>
      </w:r>
    </w:p>
    <w:p w:rsidR="003957F5" w:rsidRDefault="000624B7">
      <w:pPr>
        <w:spacing w:after="84" w:line="259" w:lineRule="auto"/>
        <w:ind w:left="420" w:firstLine="0"/>
        <w:jc w:val="left"/>
      </w:pPr>
      <w:r>
        <w:t xml:space="preserve"> </w:t>
      </w:r>
    </w:p>
    <w:p w:rsidR="003957F5" w:rsidRDefault="000624B7">
      <w:pPr>
        <w:pStyle w:val="1"/>
        <w:ind w:left="360" w:right="4" w:hanging="360"/>
      </w:pPr>
      <w:r>
        <w:t xml:space="preserve">ФИНАНСОВЫЕ ОСНОВЫ ДЕЯТЕЛЬНОСТИ СЦК </w:t>
      </w:r>
    </w:p>
    <w:p w:rsidR="003957F5" w:rsidRDefault="000624B7">
      <w:pPr>
        <w:ind w:left="-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Финансирование деятельности СЦК осуществляется: </w:t>
      </w:r>
    </w:p>
    <w:p w:rsidR="003957F5" w:rsidRDefault="000624B7">
      <w:pPr>
        <w:numPr>
          <w:ilvl w:val="0"/>
          <w:numId w:val="6"/>
        </w:numPr>
        <w:ind w:firstLine="0"/>
        <w:jc w:val="left"/>
      </w:pPr>
      <w:r>
        <w:t xml:space="preserve">из средств бюджета Иркутской области </w:t>
      </w:r>
    </w:p>
    <w:p w:rsidR="003957F5" w:rsidRDefault="000624B7" w:rsidP="0030776C">
      <w:pPr>
        <w:numPr>
          <w:ilvl w:val="0"/>
          <w:numId w:val="6"/>
        </w:numPr>
        <w:spacing w:after="0" w:line="312" w:lineRule="auto"/>
        <w:ind w:firstLine="0"/>
      </w:pPr>
      <w:r>
        <w:t xml:space="preserve">из средств Государственного бюджетного профессионального образовательного учреждения Иркутской области «Братский политехнический колледж»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из внебюджетных источников. </w:t>
      </w:r>
    </w:p>
    <w:p w:rsidR="003957F5" w:rsidRDefault="000624B7">
      <w:pPr>
        <w:spacing w:after="85" w:line="259" w:lineRule="auto"/>
        <w:ind w:left="461" w:firstLine="0"/>
        <w:jc w:val="left"/>
      </w:pPr>
      <w:r>
        <w:t xml:space="preserve"> </w:t>
      </w:r>
    </w:p>
    <w:p w:rsidR="003957F5" w:rsidRDefault="000624B7">
      <w:pPr>
        <w:pStyle w:val="1"/>
        <w:ind w:right="0"/>
      </w:pPr>
      <w:r>
        <w:t xml:space="preserve">ТЕХНИЧЕСКОЕ И МЕТОДИЧЕСКОЕ ОБЕСПЕЧЕНИЕ ДЕЯТЕЛЬНОСТИ СЦК </w:t>
      </w:r>
    </w:p>
    <w:p w:rsidR="003957F5" w:rsidRDefault="000624B7">
      <w:pPr>
        <w:ind w:left="-5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СЦК WSR должен быть обеспечен необходимыми служебными помещениями, техническими и методическими ресурсами. </w:t>
      </w:r>
    </w:p>
    <w:p w:rsidR="003957F5" w:rsidRDefault="000624B7">
      <w:pPr>
        <w:ind w:left="-5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Рабочие места всех штатных сотрудников должны быть обеспечены современной компьютерной техникой с лицензионным программным обеспечением, позволяющей осуществлять основные функции СЦК WSR. </w:t>
      </w:r>
    </w:p>
    <w:p w:rsidR="003957F5" w:rsidRDefault="000624B7">
      <w:pPr>
        <w:ind w:left="-5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СЦК WSR должен быть оснащен: </w:t>
      </w:r>
    </w:p>
    <w:p w:rsidR="003957F5" w:rsidRDefault="000624B7">
      <w:pPr>
        <w:numPr>
          <w:ilvl w:val="0"/>
          <w:numId w:val="7"/>
        </w:numPr>
        <w:ind w:hanging="307"/>
      </w:pPr>
      <w:r>
        <w:lastRenderedPageBreak/>
        <w:t xml:space="preserve">современными </w:t>
      </w:r>
      <w:r>
        <w:tab/>
        <w:t xml:space="preserve">экранно-звуковыми </w:t>
      </w:r>
      <w:r>
        <w:tab/>
        <w:t xml:space="preserve">средствами, </w:t>
      </w:r>
      <w:r>
        <w:tab/>
        <w:t xml:space="preserve">позволяющими </w:t>
      </w:r>
    </w:p>
    <w:p w:rsidR="003957F5" w:rsidRDefault="000624B7">
      <w:pPr>
        <w:ind w:left="-5"/>
      </w:pPr>
      <w:r>
        <w:t xml:space="preserve">осуществлять презентацию аудиозаписей, видеофильмов, слайдов; </w:t>
      </w:r>
    </w:p>
    <w:p w:rsidR="003957F5" w:rsidRDefault="000624B7">
      <w:pPr>
        <w:numPr>
          <w:ilvl w:val="0"/>
          <w:numId w:val="7"/>
        </w:numPr>
        <w:ind w:hanging="307"/>
      </w:pPr>
      <w:r>
        <w:t xml:space="preserve">копировально-множительной техникой; </w:t>
      </w:r>
    </w:p>
    <w:p w:rsidR="003957F5" w:rsidRDefault="000624B7">
      <w:pPr>
        <w:numPr>
          <w:ilvl w:val="0"/>
          <w:numId w:val="7"/>
        </w:numPr>
        <w:ind w:hanging="307"/>
      </w:pPr>
      <w:r>
        <w:t xml:space="preserve">современными техническими средствами связи; </w:t>
      </w:r>
    </w:p>
    <w:p w:rsidR="003957F5" w:rsidRDefault="000624B7">
      <w:pPr>
        <w:numPr>
          <w:ilvl w:val="0"/>
          <w:numId w:val="7"/>
        </w:numPr>
        <w:ind w:hanging="307"/>
      </w:pPr>
      <w:r>
        <w:t xml:space="preserve">доступом к сети Интернет;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современным оборудованием. </w:t>
      </w:r>
    </w:p>
    <w:p w:rsidR="003957F5" w:rsidRDefault="000624B7">
      <w:pPr>
        <w:ind w:left="-5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СЦК должен быть обеспечен следующими документами, необходимыми для его функционирования: </w:t>
      </w:r>
    </w:p>
    <w:p w:rsidR="003957F5" w:rsidRDefault="000624B7" w:rsidP="0030776C">
      <w:pPr>
        <w:numPr>
          <w:ilvl w:val="0"/>
          <w:numId w:val="7"/>
        </w:numPr>
        <w:ind w:hanging="307"/>
      </w:pPr>
      <w:r>
        <w:t xml:space="preserve">Положение о деятельности СЦК; </w:t>
      </w:r>
    </w:p>
    <w:p w:rsidR="003957F5" w:rsidRDefault="000624B7" w:rsidP="0030776C">
      <w:pPr>
        <w:numPr>
          <w:ilvl w:val="0"/>
          <w:numId w:val="7"/>
        </w:numPr>
        <w:ind w:hanging="307"/>
      </w:pPr>
      <w:r>
        <w:t xml:space="preserve">Положение о деятельности РКЦ; </w:t>
      </w:r>
    </w:p>
    <w:p w:rsidR="003957F5" w:rsidRDefault="000624B7" w:rsidP="0030776C">
      <w:pPr>
        <w:numPr>
          <w:ilvl w:val="0"/>
          <w:numId w:val="7"/>
        </w:numPr>
        <w:ind w:hanging="307"/>
      </w:pPr>
      <w:r>
        <w:t xml:space="preserve">Дорожная карта по развитию движения WSR на территории Иркутской области; </w:t>
      </w:r>
    </w:p>
    <w:p w:rsidR="0030776C" w:rsidRPr="0030776C" w:rsidRDefault="000624B7" w:rsidP="0030776C">
      <w:pPr>
        <w:numPr>
          <w:ilvl w:val="0"/>
          <w:numId w:val="7"/>
        </w:numPr>
        <w:ind w:hanging="307"/>
      </w:pPr>
      <w:r>
        <w:t>Регламент по проведению чемпионат</w:t>
      </w:r>
      <w:r w:rsidR="00FD5CFF">
        <w:t>а</w:t>
      </w:r>
      <w:r>
        <w:t xml:space="preserve"> WSR</w:t>
      </w:r>
      <w:r w:rsidR="00FD5CFF">
        <w:t>.</w:t>
      </w:r>
    </w:p>
    <w:p w:rsidR="003957F5" w:rsidRDefault="003957F5" w:rsidP="00FD5CFF">
      <w:pPr>
        <w:ind w:left="727" w:firstLine="0"/>
      </w:pPr>
    </w:p>
    <w:p w:rsidR="003957F5" w:rsidRDefault="000624B7">
      <w:pPr>
        <w:spacing w:after="52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3957F5" w:rsidRDefault="000624B7">
      <w:pPr>
        <w:spacing w:after="18" w:line="259" w:lineRule="auto"/>
        <w:ind w:left="566" w:firstLine="0"/>
        <w:jc w:val="left"/>
      </w:pPr>
      <w:r>
        <w:t xml:space="preserve"> </w:t>
      </w:r>
    </w:p>
    <w:p w:rsidR="003957F5" w:rsidRDefault="000624B7">
      <w:pPr>
        <w:spacing w:after="71" w:line="259" w:lineRule="auto"/>
        <w:ind w:left="566" w:firstLine="0"/>
        <w:jc w:val="left"/>
      </w:pPr>
      <w:r>
        <w:t xml:space="preserve"> </w:t>
      </w:r>
      <w:bookmarkStart w:id="0" w:name="_GoBack"/>
      <w:bookmarkEnd w:id="0"/>
    </w:p>
    <w:p w:rsidR="003957F5" w:rsidRDefault="000624B7">
      <w:pPr>
        <w:spacing w:after="30"/>
        <w:ind w:left="576"/>
      </w:pPr>
      <w:r>
        <w:t xml:space="preserve">Разработала: </w:t>
      </w:r>
    </w:p>
    <w:p w:rsidR="003957F5" w:rsidRDefault="0030776C">
      <w:pPr>
        <w:ind w:left="576"/>
      </w:pPr>
      <w:r>
        <w:t>з</w:t>
      </w:r>
      <w:r w:rsidR="000624B7">
        <w:t>ам. директора по УМР                                                Н. В. Носырева</w:t>
      </w:r>
      <w:r w:rsidR="000624B7">
        <w:rPr>
          <w:sz w:val="24"/>
        </w:rPr>
        <w:t xml:space="preserve"> </w:t>
      </w:r>
    </w:p>
    <w:sectPr w:rsidR="00395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3" w:right="560" w:bottom="401" w:left="170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3A" w:rsidRDefault="002C073A">
      <w:pPr>
        <w:spacing w:after="0" w:line="240" w:lineRule="auto"/>
      </w:pPr>
      <w:r>
        <w:separator/>
      </w:r>
    </w:p>
  </w:endnote>
  <w:endnote w:type="continuationSeparator" w:id="0">
    <w:p w:rsidR="002C073A" w:rsidRDefault="002C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5" w:rsidRDefault="000624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10210495</wp:posOffset>
              </wp:positionV>
              <wp:extent cx="6157849" cy="56388"/>
              <wp:effectExtent l="0" t="0" r="0" b="0"/>
              <wp:wrapSquare wrapText="bothSides"/>
              <wp:docPr id="11035" name="Group 11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849" cy="56388"/>
                        <a:chOff x="0" y="0"/>
                        <a:chExt cx="6157849" cy="56388"/>
                      </a:xfrm>
                    </wpg:grpSpPr>
                    <wps:wsp>
                      <wps:cNvPr id="11568" name="Shape 11568"/>
                      <wps:cNvSpPr/>
                      <wps:spPr>
                        <a:xfrm>
                          <a:off x="0" y="0"/>
                          <a:ext cx="615784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38100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9" name="Shape 11569"/>
                      <wps:cNvSpPr/>
                      <wps:spPr>
                        <a:xfrm>
                          <a:off x="0" y="47244"/>
                          <a:ext cx="61578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9144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35" style="width:484.87pt;height:4.44pt;position:absolute;mso-position-horizontal-relative:page;mso-position-horizontal:absolute;margin-left:83.664pt;mso-position-vertical-relative:page;margin-top:803.976pt;" coordsize="61578,563">
              <v:shape id="Shape 11570" style="position:absolute;width:61578;height:381;left:0;top:0;" coordsize="6157849,38100" path="m0,0l6157849,0l6157849,38100l0,38100l0,0">
                <v:stroke weight="0pt" endcap="flat" joinstyle="miter" miterlimit="10" on="false" color="#000000" opacity="0"/>
                <v:fill on="true" color="#622423"/>
              </v:shape>
              <v:shape id="Shape 11571" style="position:absolute;width:61578;height:91;left:0;top:472;" coordsize="6157849,9144" path="m0,0l6157849,0l615784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Версия 2.0                                   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5" w:rsidRDefault="000624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10210495</wp:posOffset>
              </wp:positionV>
              <wp:extent cx="6157849" cy="56388"/>
              <wp:effectExtent l="0" t="0" r="0" b="0"/>
              <wp:wrapSquare wrapText="bothSides"/>
              <wp:docPr id="10954" name="Group 10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849" cy="56388"/>
                        <a:chOff x="0" y="0"/>
                        <a:chExt cx="6157849" cy="56388"/>
                      </a:xfrm>
                    </wpg:grpSpPr>
                    <wps:wsp>
                      <wps:cNvPr id="11564" name="Shape 11564"/>
                      <wps:cNvSpPr/>
                      <wps:spPr>
                        <a:xfrm>
                          <a:off x="0" y="0"/>
                          <a:ext cx="615784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38100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5" name="Shape 11565"/>
                      <wps:cNvSpPr/>
                      <wps:spPr>
                        <a:xfrm>
                          <a:off x="0" y="47244"/>
                          <a:ext cx="61578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9144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54" style="width:484.87pt;height:4.44pt;position:absolute;mso-position-horizontal-relative:page;mso-position-horizontal:absolute;margin-left:83.664pt;mso-position-vertical-relative:page;margin-top:803.976pt;" coordsize="61578,563">
              <v:shape id="Shape 11566" style="position:absolute;width:61578;height:381;left:0;top:0;" coordsize="6157849,38100" path="m0,0l6157849,0l6157849,38100l0,38100l0,0">
                <v:stroke weight="0pt" endcap="flat" joinstyle="miter" miterlimit="10" on="false" color="#000000" opacity="0"/>
                <v:fill on="true" color="#622423"/>
              </v:shape>
              <v:shape id="Shape 11567" style="position:absolute;width:61578;height:91;left:0;top:472;" coordsize="6157849,9144" path="m0,0l6157849,0l615784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Версия </w:t>
    </w:r>
    <w:r w:rsidR="005C0C44">
      <w:rPr>
        <w:sz w:val="22"/>
      </w:rPr>
      <w:t>1</w:t>
    </w:r>
    <w:r>
      <w:rPr>
        <w:sz w:val="22"/>
      </w:rPr>
      <w:t xml:space="preserve">.0                                   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D5CFF" w:rsidRPr="00FD5CFF">
      <w:rPr>
        <w:noProof/>
        <w:sz w:val="22"/>
      </w:rPr>
      <w:t>7</w:t>
    </w:r>
    <w:r>
      <w:rPr>
        <w:sz w:val="22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5" w:rsidRDefault="000624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10210495</wp:posOffset>
              </wp:positionV>
              <wp:extent cx="6157849" cy="56388"/>
              <wp:effectExtent l="0" t="0" r="0" b="0"/>
              <wp:wrapSquare wrapText="bothSides"/>
              <wp:docPr id="10873" name="Group 10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849" cy="56388"/>
                        <a:chOff x="0" y="0"/>
                        <a:chExt cx="6157849" cy="56388"/>
                      </a:xfrm>
                    </wpg:grpSpPr>
                    <wps:wsp>
                      <wps:cNvPr id="11560" name="Shape 11560"/>
                      <wps:cNvSpPr/>
                      <wps:spPr>
                        <a:xfrm>
                          <a:off x="0" y="0"/>
                          <a:ext cx="615784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38100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1" name="Shape 11561"/>
                      <wps:cNvSpPr/>
                      <wps:spPr>
                        <a:xfrm>
                          <a:off x="0" y="47244"/>
                          <a:ext cx="61578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 h="9144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  <a:lnTo>
                                <a:pt x="61578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73" style="width:484.87pt;height:4.44pt;position:absolute;mso-position-horizontal-relative:page;mso-position-horizontal:absolute;margin-left:83.664pt;mso-position-vertical-relative:page;margin-top:803.976pt;" coordsize="61578,563">
              <v:shape id="Shape 11562" style="position:absolute;width:61578;height:381;left:0;top:0;" coordsize="6157849,38100" path="m0,0l6157849,0l6157849,38100l0,38100l0,0">
                <v:stroke weight="0pt" endcap="flat" joinstyle="miter" miterlimit="10" on="false" color="#000000" opacity="0"/>
                <v:fill on="true" color="#622423"/>
              </v:shape>
              <v:shape id="Shape 11563" style="position:absolute;width:61578;height:91;left:0;top:472;" coordsize="6157849,9144" path="m0,0l6157849,0l615784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Версия </w:t>
    </w:r>
    <w:r w:rsidR="006B4E2C">
      <w:rPr>
        <w:sz w:val="22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3A" w:rsidRDefault="002C073A">
      <w:pPr>
        <w:spacing w:after="0" w:line="240" w:lineRule="auto"/>
      </w:pPr>
      <w:r>
        <w:separator/>
      </w:r>
    </w:p>
  </w:footnote>
  <w:footnote w:type="continuationSeparator" w:id="0">
    <w:p w:rsidR="002C073A" w:rsidRDefault="002C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713"/>
      <w:tblOverlap w:val="never"/>
      <w:tblW w:w="9640" w:type="dxa"/>
      <w:tblInd w:w="0" w:type="dxa"/>
      <w:tblCellMar>
        <w:top w:w="5" w:type="dxa"/>
        <w:left w:w="362" w:type="dxa"/>
        <w:bottom w:w="3" w:type="dxa"/>
        <w:right w:w="115" w:type="dxa"/>
      </w:tblCellMar>
      <w:tblLook w:val="04A0" w:firstRow="1" w:lastRow="0" w:firstColumn="1" w:lastColumn="0" w:noHBand="0" w:noVBand="1"/>
    </w:tblPr>
    <w:tblGrid>
      <w:gridCol w:w="1702"/>
      <w:gridCol w:w="7938"/>
    </w:tblGrid>
    <w:tr w:rsidR="003957F5">
      <w:trPr>
        <w:trHeight w:val="70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957F5" w:rsidRDefault="000624B7">
          <w:pPr>
            <w:spacing w:after="0" w:line="259" w:lineRule="auto"/>
            <w:ind w:left="0" w:right="247" w:firstLine="0"/>
            <w:jc w:val="center"/>
          </w:pPr>
          <w:r>
            <w:rPr>
              <w:noProof/>
            </w:rPr>
            <w:drawing>
              <wp:inline distT="0" distB="0" distL="0" distR="0">
                <wp:extent cx="618490" cy="629285"/>
                <wp:effectExtent l="0" t="0" r="0" b="0"/>
                <wp:docPr id="149" name="Picture 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Picture 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"/>
            </w:rPr>
            <w:t xml:space="preserve"> </w:t>
          </w: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0624B7">
          <w:pPr>
            <w:spacing w:after="0" w:line="259" w:lineRule="auto"/>
            <w:ind w:left="841" w:hanging="223"/>
            <w:jc w:val="left"/>
          </w:pPr>
          <w:r>
            <w:rPr>
              <w:sz w:val="22"/>
            </w:rPr>
            <w:t xml:space="preserve">Положение об организации деятельности специализированного центра компетенций: T10 </w:t>
          </w:r>
          <w:proofErr w:type="spellStart"/>
          <w:r>
            <w:rPr>
              <w:sz w:val="22"/>
            </w:rPr>
            <w:t>Internet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marketing</w:t>
          </w:r>
          <w:proofErr w:type="spellEnd"/>
          <w:r>
            <w:rPr>
              <w:sz w:val="22"/>
            </w:rPr>
            <w:t xml:space="preserve"> – Интернет маркетинг</w:t>
          </w:r>
          <w:r>
            <w:rPr>
              <w:b/>
              <w:sz w:val="22"/>
            </w:rPr>
            <w:t xml:space="preserve"> </w:t>
          </w:r>
        </w:p>
      </w:tc>
    </w:tr>
    <w:tr w:rsidR="003957F5">
      <w:trPr>
        <w:trHeight w:val="29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3957F5">
          <w:pPr>
            <w:spacing w:after="160" w:line="259" w:lineRule="auto"/>
            <w:ind w:left="0" w:firstLine="0"/>
            <w:jc w:val="left"/>
          </w:pP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0624B7">
          <w:pPr>
            <w:spacing w:after="0" w:line="259" w:lineRule="auto"/>
            <w:ind w:left="0" w:right="244" w:firstLine="0"/>
            <w:jc w:val="center"/>
          </w:pPr>
          <w:r>
            <w:rPr>
              <w:sz w:val="24"/>
            </w:rPr>
            <w:t>СМК-ЛД-110-2021</w:t>
          </w:r>
          <w:r>
            <w:rPr>
              <w:sz w:val="22"/>
            </w:rPr>
            <w:t xml:space="preserve"> </w:t>
          </w:r>
        </w:p>
      </w:tc>
    </w:tr>
  </w:tbl>
  <w:p w:rsidR="003957F5" w:rsidRDefault="000624B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713"/>
      <w:tblOverlap w:val="never"/>
      <w:tblW w:w="9640" w:type="dxa"/>
      <w:tblInd w:w="0" w:type="dxa"/>
      <w:tblCellMar>
        <w:top w:w="5" w:type="dxa"/>
        <w:left w:w="362" w:type="dxa"/>
        <w:bottom w:w="3" w:type="dxa"/>
        <w:right w:w="115" w:type="dxa"/>
      </w:tblCellMar>
      <w:tblLook w:val="04A0" w:firstRow="1" w:lastRow="0" w:firstColumn="1" w:lastColumn="0" w:noHBand="0" w:noVBand="1"/>
    </w:tblPr>
    <w:tblGrid>
      <w:gridCol w:w="1702"/>
      <w:gridCol w:w="7938"/>
    </w:tblGrid>
    <w:tr w:rsidR="003957F5">
      <w:trPr>
        <w:trHeight w:val="70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957F5" w:rsidRDefault="000624B7">
          <w:pPr>
            <w:spacing w:after="0" w:line="259" w:lineRule="auto"/>
            <w:ind w:left="0" w:right="247" w:firstLine="0"/>
            <w:jc w:val="center"/>
          </w:pPr>
          <w:r>
            <w:rPr>
              <w:noProof/>
            </w:rPr>
            <w:drawing>
              <wp:inline distT="0" distB="0" distL="0" distR="0">
                <wp:extent cx="618490" cy="629285"/>
                <wp:effectExtent l="0" t="0" r="0" b="0"/>
                <wp:docPr id="1" name="Picture 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Picture 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"/>
            </w:rPr>
            <w:t xml:space="preserve"> </w:t>
          </w: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0624B7" w:rsidP="006B4E2C">
          <w:pPr>
            <w:spacing w:after="0" w:line="259" w:lineRule="auto"/>
            <w:ind w:left="841" w:hanging="223"/>
            <w:jc w:val="left"/>
          </w:pPr>
          <w:r>
            <w:rPr>
              <w:sz w:val="22"/>
            </w:rPr>
            <w:t xml:space="preserve">Положение об организации деятельности специализированного центра компетенций: </w:t>
          </w:r>
          <w:r w:rsidR="006B4E2C" w:rsidRPr="00F56FF7">
            <w:rPr>
              <w:sz w:val="22"/>
            </w:rPr>
            <w:t xml:space="preserve">F6 </w:t>
          </w:r>
          <w:proofErr w:type="spellStart"/>
          <w:r w:rsidR="006B4E2C" w:rsidRPr="00F56FF7">
            <w:rPr>
              <w:sz w:val="22"/>
            </w:rPr>
            <w:t>Mobile</w:t>
          </w:r>
          <w:proofErr w:type="spellEnd"/>
          <w:r w:rsidR="006B4E2C" w:rsidRPr="00F56FF7">
            <w:rPr>
              <w:sz w:val="22"/>
            </w:rPr>
            <w:t xml:space="preserve"> </w:t>
          </w:r>
          <w:proofErr w:type="spellStart"/>
          <w:r w:rsidR="006B4E2C" w:rsidRPr="00F56FF7">
            <w:rPr>
              <w:sz w:val="22"/>
            </w:rPr>
            <w:t>application</w:t>
          </w:r>
          <w:proofErr w:type="spellEnd"/>
          <w:r w:rsidR="006B4E2C" w:rsidRPr="00F56FF7">
            <w:rPr>
              <w:sz w:val="22"/>
            </w:rPr>
            <w:t xml:space="preserve"> </w:t>
          </w:r>
          <w:proofErr w:type="spellStart"/>
          <w:r w:rsidR="006B4E2C" w:rsidRPr="00F56FF7">
            <w:rPr>
              <w:sz w:val="22"/>
            </w:rPr>
            <w:t>development</w:t>
          </w:r>
          <w:proofErr w:type="spellEnd"/>
          <w:r w:rsidR="006B4E2C">
            <w:rPr>
              <w:sz w:val="22"/>
            </w:rPr>
            <w:t xml:space="preserve"> – </w:t>
          </w:r>
          <w:r w:rsidR="006B4E2C" w:rsidRPr="00F56FF7">
            <w:rPr>
              <w:sz w:val="22"/>
            </w:rPr>
            <w:t>F6 Разработка мобильных приложений</w:t>
          </w:r>
        </w:p>
      </w:tc>
    </w:tr>
    <w:tr w:rsidR="003957F5">
      <w:trPr>
        <w:trHeight w:val="29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3957F5">
          <w:pPr>
            <w:spacing w:after="160" w:line="259" w:lineRule="auto"/>
            <w:ind w:left="0" w:firstLine="0"/>
            <w:jc w:val="left"/>
          </w:pP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57F5" w:rsidRDefault="00EC0247">
          <w:pPr>
            <w:spacing w:after="0" w:line="259" w:lineRule="auto"/>
            <w:ind w:left="0" w:right="244" w:firstLine="0"/>
            <w:jc w:val="center"/>
          </w:pPr>
          <w:r w:rsidRPr="00EC0247">
            <w:rPr>
              <w:sz w:val="24"/>
            </w:rPr>
            <w:t xml:space="preserve">СМК-ЛД- </w:t>
          </w:r>
          <w:r>
            <w:rPr>
              <w:sz w:val="24"/>
            </w:rPr>
            <w:t xml:space="preserve">144 </w:t>
          </w:r>
          <w:r w:rsidRPr="00EC0247">
            <w:rPr>
              <w:sz w:val="24"/>
            </w:rPr>
            <w:t>-2021</w:t>
          </w:r>
        </w:p>
      </w:tc>
    </w:tr>
  </w:tbl>
  <w:p w:rsidR="003957F5" w:rsidRDefault="000624B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5" w:rsidRDefault="003957F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3F8"/>
    <w:multiLevelType w:val="hybridMultilevel"/>
    <w:tmpl w:val="58425A12"/>
    <w:lvl w:ilvl="0" w:tplc="C9F65B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E7E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60A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8570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C560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2022C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A11E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29DD0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4B3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3124A"/>
    <w:multiLevelType w:val="hybridMultilevel"/>
    <w:tmpl w:val="C9344C66"/>
    <w:lvl w:ilvl="0" w:tplc="59D0F2C4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2152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2AD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F87A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E9368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A35B4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EA20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974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02B6E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75DC8"/>
    <w:multiLevelType w:val="hybridMultilevel"/>
    <w:tmpl w:val="1A20C770"/>
    <w:lvl w:ilvl="0" w:tplc="972AC29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AF194">
      <w:start w:val="1"/>
      <w:numFmt w:val="lowerLetter"/>
      <w:lvlText w:val="%2"/>
      <w:lvlJc w:val="left"/>
      <w:pPr>
        <w:ind w:left="3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E4F6E">
      <w:start w:val="1"/>
      <w:numFmt w:val="lowerRoman"/>
      <w:lvlText w:val="%3"/>
      <w:lvlJc w:val="left"/>
      <w:pPr>
        <w:ind w:left="4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8C75A">
      <w:start w:val="1"/>
      <w:numFmt w:val="decimal"/>
      <w:lvlText w:val="%4"/>
      <w:lvlJc w:val="left"/>
      <w:pPr>
        <w:ind w:left="4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4BAAC">
      <w:start w:val="1"/>
      <w:numFmt w:val="lowerLetter"/>
      <w:lvlText w:val="%5"/>
      <w:lvlJc w:val="left"/>
      <w:pPr>
        <w:ind w:left="5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C13AC">
      <w:start w:val="1"/>
      <w:numFmt w:val="lowerRoman"/>
      <w:lvlText w:val="%6"/>
      <w:lvlJc w:val="left"/>
      <w:pPr>
        <w:ind w:left="6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6B62E">
      <w:start w:val="1"/>
      <w:numFmt w:val="decimal"/>
      <w:lvlText w:val="%7"/>
      <w:lvlJc w:val="left"/>
      <w:pPr>
        <w:ind w:left="7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01EB2">
      <w:start w:val="1"/>
      <w:numFmt w:val="lowerLetter"/>
      <w:lvlText w:val="%8"/>
      <w:lvlJc w:val="left"/>
      <w:pPr>
        <w:ind w:left="7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CB98A">
      <w:start w:val="1"/>
      <w:numFmt w:val="lowerRoman"/>
      <w:lvlText w:val="%9"/>
      <w:lvlJc w:val="left"/>
      <w:pPr>
        <w:ind w:left="8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EF75D6"/>
    <w:multiLevelType w:val="hybridMultilevel"/>
    <w:tmpl w:val="BEE27F9E"/>
    <w:lvl w:ilvl="0" w:tplc="4DF28EAA">
      <w:start w:val="1"/>
      <w:numFmt w:val="bullet"/>
      <w:lvlText w:val=""/>
      <w:lvlJc w:val="left"/>
      <w:pPr>
        <w:ind w:left="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8D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0B4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DCC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8C3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22A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E7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AEF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328E5"/>
    <w:multiLevelType w:val="hybridMultilevel"/>
    <w:tmpl w:val="4322F8D2"/>
    <w:lvl w:ilvl="0" w:tplc="3A845F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2F40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1ED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20D76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E67B2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04AF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21028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3688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1D1A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456E3C"/>
    <w:multiLevelType w:val="hybridMultilevel"/>
    <w:tmpl w:val="9848A848"/>
    <w:lvl w:ilvl="0" w:tplc="41D6332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23F0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3F7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CB5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FCF2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5EE4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2895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0120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27E3E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B593E"/>
    <w:multiLevelType w:val="hybridMultilevel"/>
    <w:tmpl w:val="E9FE6030"/>
    <w:lvl w:ilvl="0" w:tplc="81028ED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A4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0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6E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80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0C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C5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24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49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708A3"/>
    <w:multiLevelType w:val="hybridMultilevel"/>
    <w:tmpl w:val="0728E7B2"/>
    <w:lvl w:ilvl="0" w:tplc="4BA2F5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74BE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6130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C2B8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8A18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443B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8A386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E151E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946C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822F3"/>
    <w:multiLevelType w:val="hybridMultilevel"/>
    <w:tmpl w:val="F2263E62"/>
    <w:lvl w:ilvl="0" w:tplc="B95EEE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0758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2DF0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A48E6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6A166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43B7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EBC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A421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64F86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5"/>
    <w:rsid w:val="000624B7"/>
    <w:rsid w:val="001C7683"/>
    <w:rsid w:val="002B2FF2"/>
    <w:rsid w:val="002C073A"/>
    <w:rsid w:val="0030776C"/>
    <w:rsid w:val="003957F5"/>
    <w:rsid w:val="00474009"/>
    <w:rsid w:val="004E3C1B"/>
    <w:rsid w:val="005C0C44"/>
    <w:rsid w:val="006B4E2C"/>
    <w:rsid w:val="00A61E16"/>
    <w:rsid w:val="00D22CFB"/>
    <w:rsid w:val="00DD1800"/>
    <w:rsid w:val="00EC0247"/>
    <w:rsid w:val="00F56FF7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4DB4"/>
  <w15:docId w15:val="{7089436B-2318-4EB2-8CC0-555EB95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6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</vt:lpstr>
    </vt:vector>
  </TitlesOfParts>
  <Company>SPecialiST RePack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</dc:title>
  <dc:subject/>
  <dc:creator>User</dc:creator>
  <cp:keywords/>
  <cp:lastModifiedBy>Носырева Надежда Викторовна</cp:lastModifiedBy>
  <cp:revision>4</cp:revision>
  <dcterms:created xsi:type="dcterms:W3CDTF">2021-12-15T02:26:00Z</dcterms:created>
  <dcterms:modified xsi:type="dcterms:W3CDTF">2021-12-15T03:52:00Z</dcterms:modified>
</cp:coreProperties>
</file>